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rStyle w:val="a4"/>
          <w:color w:val="000000"/>
          <w:sz w:val="28"/>
          <w:szCs w:val="28"/>
        </w:rPr>
        <w:t>Право на охрану здоровья обучающихся</w:t>
      </w:r>
      <w:r>
        <w:rPr>
          <w:rStyle w:val="a4"/>
          <w:color w:val="000000"/>
          <w:sz w:val="28"/>
          <w:szCs w:val="28"/>
        </w:rPr>
        <w:t xml:space="preserve"> лиц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Все обучающиеся в образовательных организациях в соответствии со ст. 34 Федерального закона от 29.12.2012 N 273-ФЗ "Об образовании в Российской Федерации" имеют право на охрану жизни и здоровья.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На охрану здоровья обучающихся при осуществлении деятельности по их обучению и воспитанию в общеобразовательных организациях направлены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 СанПиН 2.4.2.2821-10. (далее - СанПиН).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Согласно требованиям СанПиН оптимальный возраст начала школьного обучения - не ранее 7 лет. Прием детей 7-го года жизни осуществляют при достижении ими к 1 сентября учебного года возраста не менее 6 лет 6 месяцев, но не позже достижения ими возраста восьми лет (п. 1 ст. 67 Федерального закона от 29.12.2012 N 273-ФЗ "Об образовании в Российской Федерации").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В учреждениях, работающих в две смены, обучение 1-х, 5-х, выпускных 9 и 11 классов должно быть организовано в первую смену.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- для обучающихся 1-х классов - не должен превышать 4 уроков;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- для обучающихся 2 - 4 классов - не более 5 уроков;</w:t>
      </w:r>
      <w:r w:rsidRPr="00BF50D4">
        <w:rPr>
          <w:color w:val="000000"/>
          <w:sz w:val="28"/>
          <w:szCs w:val="28"/>
        </w:rPr>
        <w:br/>
        <w:t>- для обучающихся 5 - 6 классов - не более 6 уроков;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- для обучающихся 7 - 11 классов - не более 7 уроков.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Продолжительность урока (академический час) во всех классах не должна превышать 45 минут, за исключением 1 класса, где должен использоваться "ступенчатый" режим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Руководитель общеобразовательной организации является ответственным лицом за организацию и полноту выполнения указанного СанПиН.</w:t>
      </w:r>
    </w:p>
    <w:p w:rsid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Соответствующая ответственность предусмотрена ст. 6.7 КоАП РФ и влечет наложение административного штрафа на должностных лиц в размере от трех тысяч до семи тысяч рублей; на юридических лиц - от тридцати тысяч до семидесяти тысяч рублей.</w:t>
      </w:r>
    </w:p>
    <w:p w:rsidR="00BF1099" w:rsidRPr="00BF50D4" w:rsidRDefault="006008B7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F1099" w:rsidRPr="00BF50D4" w:rsidSect="00BF50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D4"/>
    <w:rsid w:val="00451133"/>
    <w:rsid w:val="004C40DD"/>
    <w:rsid w:val="006008B7"/>
    <w:rsid w:val="00B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828"/>
  <w15:docId w15:val="{362DB075-0A0E-432C-B1E8-15460D25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0D4"/>
    <w:rPr>
      <w:b/>
      <w:bCs/>
    </w:rPr>
  </w:style>
  <w:style w:type="character" w:customStyle="1" w:styleId="apple-converted-space">
    <w:name w:val="apple-converted-space"/>
    <w:basedOn w:val="a0"/>
    <w:rsid w:val="00BF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2017-05-15T11:11:00Z</dcterms:created>
  <dcterms:modified xsi:type="dcterms:W3CDTF">2017-11-29T07:25:00Z</dcterms:modified>
</cp:coreProperties>
</file>